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35AC" w14:textId="42933983" w:rsidR="00C365F8" w:rsidRDefault="004361B1" w:rsidP="00D46285">
      <w:pPr>
        <w:pStyle w:val="Heading1"/>
        <w:ind w:right="545"/>
        <w:rPr>
          <w:color w:val="2E74B5" w:themeColor="accent5" w:themeShade="BF"/>
        </w:rPr>
      </w:pPr>
      <w:r>
        <w:rPr>
          <w:color w:val="2E74B5" w:themeColor="accent5" w:themeShade="BF"/>
        </w:rPr>
        <w:t>بند جدول الأعمال رقم 5:  مناقشة حول سجل طلبات اتخاذ الإجراءات</w:t>
      </w:r>
    </w:p>
    <w:p w14:paraId="25121F92" w14:textId="43FB61AA" w:rsidR="00D46285" w:rsidRDefault="000219FD" w:rsidP="000219FD">
      <w:pPr>
        <w:pStyle w:val="Heading2"/>
        <w:rPr>
          <w:b w:val="0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ملاحظة: </w:t>
      </w:r>
      <w:r>
        <w:rPr>
          <w:b w:val="0"/>
          <w:bCs/>
          <w:color w:val="000000" w:themeColor="text1"/>
          <w:sz w:val="20"/>
          <w:szCs w:val="20"/>
        </w:rPr>
        <w:t xml:space="preserve">أعد فريق دعم </w:t>
      </w:r>
      <w:r>
        <w:rPr>
          <w:b w:val="0"/>
          <w:color w:val="000000" w:themeColor="text1"/>
          <w:sz w:val="20"/>
          <w:rtl w:val="0"/>
        </w:rPr>
        <w:t>ICANN</w:t>
      </w:r>
      <w:r>
        <w:rPr>
          <w:b w:val="0"/>
          <w:bCs/>
          <w:color w:val="000000" w:themeColor="text1"/>
          <w:sz w:val="20"/>
          <w:szCs w:val="20"/>
        </w:rPr>
        <w:t xml:space="preserve"> هذه الإحاطة.</w:t>
      </w:r>
    </w:p>
    <w:p w14:paraId="1DDE84B0" w14:textId="77777777" w:rsidR="000219FD" w:rsidRPr="000219FD" w:rsidRDefault="000219FD" w:rsidP="000219FD">
      <w:pPr>
        <w:pStyle w:val="BodyText"/>
      </w:pPr>
    </w:p>
    <w:p w14:paraId="3E153AFD" w14:textId="22C4B596" w:rsidR="00EA4C85" w:rsidRPr="00EA4C85" w:rsidRDefault="004361B1" w:rsidP="00EA4C85">
      <w:pPr>
        <w:pStyle w:val="Heading2"/>
      </w:pPr>
      <w:r>
        <w:t>القضية:</w:t>
      </w:r>
    </w:p>
    <w:p w14:paraId="02CB1543" w14:textId="77777777" w:rsidR="000219FD" w:rsidRDefault="00E15B53" w:rsidP="00D46285">
      <w:pPr>
        <w:pStyle w:val="Heading2"/>
      </w:pPr>
      <w:r>
        <w:tab/>
      </w:r>
    </w:p>
    <w:p w14:paraId="1FFD7AAC" w14:textId="7A50A4B1" w:rsidR="004134C7" w:rsidRPr="00D46285" w:rsidRDefault="00D46285" w:rsidP="00D46285">
      <w:pPr>
        <w:pStyle w:val="Heading2"/>
        <w:rPr>
          <w:b w:val="0"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تمثل هذه الجلسة فرصة أمام اللجنة الاستشارية الحكومية </w:t>
      </w:r>
      <w:r>
        <w:rPr>
          <w:b w:val="0"/>
          <w:color w:val="000000" w:themeColor="text1"/>
          <w:sz w:val="20"/>
          <w:rtl w:val="0"/>
        </w:rPr>
        <w:t>GAC</w:t>
      </w:r>
      <w:r>
        <w:rPr>
          <w:b w:val="0"/>
          <w:bCs/>
          <w:color w:val="000000" w:themeColor="text1"/>
          <w:sz w:val="20"/>
          <w:szCs w:val="20"/>
        </w:rPr>
        <w:t xml:space="preserve"> من أجل مراجعة حالة سجل طلبات الإجراءات (</w:t>
      </w:r>
      <w:r>
        <w:rPr>
          <w:b w:val="0"/>
          <w:color w:val="000000" w:themeColor="text1"/>
          <w:sz w:val="20"/>
          <w:rtl w:val="0"/>
        </w:rPr>
        <w:t>ARR</w:t>
      </w:r>
      <w:r>
        <w:rPr>
          <w:b w:val="0"/>
          <w:bCs/>
          <w:color w:val="000000" w:themeColor="text1"/>
          <w:sz w:val="20"/>
          <w:szCs w:val="20"/>
        </w:rPr>
        <w:t xml:space="preserve">) لدى </w:t>
      </w:r>
      <w:r>
        <w:rPr>
          <w:b w:val="0"/>
          <w:color w:val="000000" w:themeColor="text1"/>
          <w:sz w:val="20"/>
          <w:rtl w:val="0"/>
        </w:rPr>
        <w:t>ICANN</w:t>
      </w:r>
      <w:r>
        <w:rPr>
          <w:b w:val="0"/>
          <w:bCs/>
          <w:color w:val="000000" w:themeColor="text1"/>
          <w:sz w:val="20"/>
          <w:szCs w:val="20"/>
        </w:rPr>
        <w:t xml:space="preserve">، الذي يهدف إلى إجراء تحسين تتبع مشورة </w:t>
      </w:r>
      <w:r>
        <w:rPr>
          <w:b w:val="0"/>
          <w:color w:val="000000" w:themeColor="text1"/>
          <w:sz w:val="20"/>
          <w:rtl w:val="0"/>
        </w:rPr>
        <w:t>GAC</w:t>
      </w:r>
      <w:r>
        <w:rPr>
          <w:b w:val="0"/>
          <w:bCs/>
          <w:color w:val="000000" w:themeColor="text1"/>
          <w:sz w:val="20"/>
          <w:szCs w:val="20"/>
        </w:rPr>
        <w:t xml:space="preserve"> المقدمة إلى مجلس الإدارة، قبل الاجتماع مع مجموعة تنفيذ مراجعة مجلس الإدارة واللجنة الاستشارية العامة (</w:t>
      </w:r>
      <w:r>
        <w:rPr>
          <w:b w:val="0"/>
          <w:color w:val="000000" w:themeColor="text1"/>
          <w:sz w:val="20"/>
          <w:rtl w:val="0"/>
        </w:rPr>
        <w:t>BGRI</w:t>
      </w:r>
      <w:r>
        <w:rPr>
          <w:b w:val="0"/>
          <w:bCs/>
          <w:color w:val="000000" w:themeColor="text1"/>
          <w:sz w:val="20"/>
          <w:szCs w:val="20"/>
        </w:rPr>
        <w:t>).</w:t>
      </w:r>
    </w:p>
    <w:p w14:paraId="70008BCF" w14:textId="09C02DB0" w:rsidR="00D46285" w:rsidRPr="00D46285" w:rsidRDefault="00D46285" w:rsidP="00D46285">
      <w:pPr>
        <w:pStyle w:val="BodyText"/>
        <w:rPr>
          <w:rFonts w:ascii="Arabic Transparent" w:hAnsi="Arabic Transparent"/>
          <w:sz w:val="20"/>
          <w:szCs w:val="20"/>
        </w:rPr>
      </w:pPr>
      <w:r>
        <w:rPr>
          <w:rFonts w:ascii="Arabic Transparent" w:hAnsi="Arabic Transparent"/>
          <w:sz w:val="20"/>
          <w:szCs w:val="20"/>
        </w:rPr>
        <w:t>راجع إحاطة بند جدول الأعمال رقم 10.</w:t>
      </w:r>
    </w:p>
    <w:p w14:paraId="1ED86E04" w14:textId="77777777" w:rsidR="000219FD" w:rsidRPr="0093040F" w:rsidRDefault="000219FD" w:rsidP="000219FD">
      <w:pPr>
        <w:pStyle w:val="Heading2"/>
      </w:pPr>
      <w:r>
        <w:t>معلومات أساسية:</w:t>
      </w:r>
    </w:p>
    <w:p w14:paraId="70016026" w14:textId="77777777" w:rsidR="000219FD" w:rsidRDefault="000219FD" w:rsidP="000219FD">
      <w:pPr>
        <w:pStyle w:val="BodyText"/>
        <w:rPr>
          <w:rFonts w:ascii="Century Gothic" w:hAnsi="Century Gothic"/>
          <w:sz w:val="20"/>
          <w:szCs w:val="20"/>
        </w:rPr>
      </w:pPr>
    </w:p>
    <w:p w14:paraId="7FD283B1" w14:textId="77777777" w:rsidR="000219FD" w:rsidRPr="00644800" w:rsidRDefault="000219FD" w:rsidP="000219FD">
      <w:pPr>
        <w:pStyle w:val="BodyText"/>
        <w:spacing w:line="276" w:lineRule="auto"/>
        <w:rPr>
          <w:rFonts w:ascii="Arabic Transparent" w:hAnsi="Arabic Transparent"/>
          <w:sz w:val="20"/>
          <w:szCs w:val="20"/>
        </w:rPr>
      </w:pPr>
      <w:r>
        <w:rPr>
          <w:rFonts w:ascii="Arabic Transparent" w:hAnsi="Arabic Transparent"/>
          <w:sz w:val="20"/>
          <w:szCs w:val="20"/>
        </w:rPr>
        <w:t xml:space="preserve">خلال اجتماع </w:t>
      </w:r>
      <w:r>
        <w:rPr>
          <w:rFonts w:ascii="Arabic Transparent" w:hAnsi="Arabic Transparent"/>
          <w:sz w:val="20"/>
          <w:rtl w:val="0"/>
        </w:rPr>
        <w:t>ICANN61</w:t>
      </w:r>
      <w:r>
        <w:rPr>
          <w:rFonts w:ascii="Arabic Transparent" w:hAnsi="Arabic Transparent"/>
          <w:sz w:val="20"/>
          <w:szCs w:val="20"/>
        </w:rPr>
        <w:t xml:space="preserve"> في سان خوان، قامت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بعقد اجتماع لمجموعة تنفيذ توصيات مجلس الإدارة واللجنة الاستشارية الحكومية </w:t>
      </w:r>
      <w:r>
        <w:rPr>
          <w:rFonts w:ascii="Arabic Transparent" w:hAnsi="Arabic Transparent"/>
          <w:sz w:val="20"/>
          <w:szCs w:val="20"/>
          <w:rtl w:val="0"/>
        </w:rPr>
        <w:t>(</w:t>
      </w:r>
      <w:r>
        <w:rPr>
          <w:rFonts w:ascii="Arabic Transparent" w:hAnsi="Arabic Transparent"/>
          <w:sz w:val="20"/>
          <w:rtl w:val="0"/>
        </w:rPr>
        <w:t>BGRI)</w:t>
      </w:r>
      <w:r>
        <w:rPr>
          <w:rFonts w:ascii="Arabic Transparent" w:hAnsi="Arabic Transparent"/>
          <w:sz w:val="20"/>
          <w:szCs w:val="20"/>
        </w:rPr>
        <w:t>‏ (</w:t>
      </w:r>
      <w:r>
        <w:rPr>
          <w:rFonts w:ascii="Arabic Transparent" w:hAnsi="Arabic Transparent"/>
          <w:sz w:val="20"/>
          <w:szCs w:val="20"/>
          <w:u w:val="single"/>
        </w:rPr>
        <w:t>انظر</w:t>
      </w:r>
      <w:r>
        <w:rPr>
          <w:rFonts w:ascii="Arabic Transparent" w:hAnsi="Arabic Transparent"/>
          <w:sz w:val="20"/>
          <w:szCs w:val="20"/>
        </w:rPr>
        <w:t xml:space="preserve"> نص الجلسة على -</w:t>
      </w:r>
      <w:hyperlink r:id="rId7">
        <w:r>
          <w:rPr>
            <w:rStyle w:val="Hyperlink"/>
            <w:rFonts w:ascii="Arabic Transparent" w:hAnsi="Arabic Transparent"/>
            <w:sz w:val="20"/>
            <w:rtl w:val="0"/>
          </w:rPr>
          <w:t>https://static.ptbl.co/static/attachments/169285/1520888837.pdf?1520888837</w:t>
        </w:r>
      </w:hyperlink>
      <w:r>
        <w:rPr>
          <w:rFonts w:ascii="Arabic Transparent" w:hAnsi="Arabic Transparent"/>
          <w:sz w:val="20"/>
          <w:szCs w:val="20"/>
        </w:rPr>
        <w:t>. </w:t>
      </w:r>
    </w:p>
    <w:p w14:paraId="4A132119" w14:textId="77777777" w:rsidR="000219FD" w:rsidRPr="00644800" w:rsidRDefault="000219FD" w:rsidP="000219FD">
      <w:pPr>
        <w:pStyle w:val="BodyText"/>
        <w:spacing w:line="276" w:lineRule="auto"/>
        <w:rPr>
          <w:rFonts w:ascii="Arabic Transparent" w:hAnsi="Arabic Transparent"/>
          <w:sz w:val="20"/>
          <w:szCs w:val="20"/>
        </w:rPr>
      </w:pPr>
      <w:r>
        <w:rPr>
          <w:rFonts w:ascii="Arabic Transparent" w:hAnsi="Arabic Transparent"/>
          <w:sz w:val="20"/>
          <w:szCs w:val="20"/>
        </w:rPr>
        <w:t xml:space="preserve">من بين أمور تنفيذ التوصيات التي تمت مناقشتها أثناء الجلسة، تمت إحاطة الحاضرين بشأن آخر التطورات المتعلقة بجهود طاقم </w:t>
      </w:r>
      <w:r>
        <w:rPr>
          <w:rFonts w:ascii="Arabic Transparent" w:hAnsi="Arabic Transparent"/>
          <w:sz w:val="20"/>
          <w:rtl w:val="0"/>
        </w:rPr>
        <w:t>ICANN</w:t>
      </w:r>
      <w:r>
        <w:rPr>
          <w:rFonts w:ascii="Arabic Transparent" w:hAnsi="Arabic Transparent"/>
          <w:sz w:val="20"/>
          <w:szCs w:val="20"/>
        </w:rPr>
        <w:t xml:space="preserve"> تعزيز تجهيز وتنفيذ عناصر مشورات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التاريخية لسجل طلبات اتخاذ الإجراءات </w:t>
      </w:r>
      <w:r>
        <w:rPr>
          <w:rFonts w:ascii="Arabic Transparent" w:hAnsi="Arabic Transparent"/>
          <w:sz w:val="20"/>
          <w:rtl w:val="0"/>
        </w:rPr>
        <w:t>ARR</w:t>
      </w:r>
      <w:r>
        <w:rPr>
          <w:rFonts w:ascii="Arabic Transparent" w:hAnsi="Arabic Transparent"/>
          <w:sz w:val="20"/>
          <w:szCs w:val="20"/>
        </w:rPr>
        <w:t xml:space="preserve"> – مخزون شامل لمشورة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السابقة التي تعود إلى نيسان (أبريل) 2013 في اجتماع </w:t>
      </w:r>
      <w:r>
        <w:rPr>
          <w:rFonts w:ascii="Arabic Transparent" w:hAnsi="Arabic Transparent"/>
          <w:sz w:val="20"/>
          <w:rtl w:val="0"/>
        </w:rPr>
        <w:t>ICANN 46</w:t>
      </w:r>
      <w:r>
        <w:rPr>
          <w:rFonts w:ascii="Arabic Transparent" w:hAnsi="Arabic Transparent"/>
          <w:sz w:val="20"/>
          <w:szCs w:val="20"/>
        </w:rPr>
        <w:t xml:space="preserve"> العام في بكين.</w:t>
      </w:r>
    </w:p>
    <w:p w14:paraId="5AE9A967" w14:textId="77777777" w:rsidR="000219FD" w:rsidRPr="00644800" w:rsidRDefault="000219FD" w:rsidP="000219FD">
      <w:pPr>
        <w:pStyle w:val="BodyText"/>
        <w:spacing w:line="276" w:lineRule="auto"/>
        <w:rPr>
          <w:rFonts w:ascii="Arabic Transparent" w:hAnsi="Arabic Transparent"/>
          <w:sz w:val="20"/>
          <w:szCs w:val="20"/>
        </w:rPr>
      </w:pPr>
      <w:r>
        <w:rPr>
          <w:rFonts w:ascii="Arabic Transparent" w:hAnsi="Arabic Transparent"/>
          <w:sz w:val="20"/>
          <w:szCs w:val="20"/>
        </w:rPr>
        <w:t xml:space="preserve">ويتكون مخزون سجل طلبات اتخاذ الإجراءات </w:t>
      </w:r>
      <w:r>
        <w:rPr>
          <w:rFonts w:ascii="Arabic Transparent" w:hAnsi="Arabic Transparent"/>
          <w:sz w:val="20"/>
          <w:rtl w:val="0"/>
        </w:rPr>
        <w:t>ARR</w:t>
      </w:r>
      <w:r>
        <w:rPr>
          <w:rFonts w:ascii="Arabic Transparent" w:hAnsi="Arabic Transparent"/>
          <w:sz w:val="20"/>
          <w:szCs w:val="20"/>
        </w:rPr>
        <w:t xml:space="preserve"> الحالي من 162 مشورة من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(حتى بيان </w:t>
      </w:r>
      <w:r>
        <w:rPr>
          <w:rFonts w:ascii="Arabic Transparent" w:hAnsi="Arabic Transparent"/>
          <w:sz w:val="20"/>
          <w:rtl w:val="0"/>
        </w:rPr>
        <w:t>ICANN60</w:t>
      </w:r>
      <w:r>
        <w:rPr>
          <w:rFonts w:ascii="Arabic Transparent" w:hAnsi="Arabic Transparent"/>
          <w:sz w:val="20"/>
          <w:szCs w:val="20"/>
        </w:rPr>
        <w:t xml:space="preserve">) منهم 26 مشورة لا تزال تعتبر إما في وضع "التقييم والنظر" أو "التنفيذ". ويعتبر عدد 136 مشورة أخرى في وضع "طلب الإغلاق" – مرحلة قد قررت فيها مؤسسة </w:t>
      </w:r>
      <w:r>
        <w:rPr>
          <w:rFonts w:ascii="Arabic Transparent" w:hAnsi="Arabic Transparent"/>
          <w:sz w:val="20"/>
          <w:rtl w:val="0"/>
        </w:rPr>
        <w:t>ICANN</w:t>
      </w:r>
      <w:r>
        <w:rPr>
          <w:rFonts w:ascii="Arabic Transparent" w:hAnsi="Arabic Transparent"/>
          <w:sz w:val="20"/>
          <w:szCs w:val="20"/>
        </w:rPr>
        <w:t xml:space="preserve"> أن المشورة قد نُفذت وأنها "منتهية".</w:t>
      </w:r>
    </w:p>
    <w:p w14:paraId="5114AEC8" w14:textId="77777777" w:rsidR="000219FD" w:rsidRDefault="000219FD" w:rsidP="000219FD">
      <w:pPr>
        <w:pStyle w:val="BodyText"/>
        <w:spacing w:after="0" w:line="276" w:lineRule="auto"/>
        <w:rPr>
          <w:rFonts w:ascii="Arabic Transparent" w:hAnsi="Arabic Transparent"/>
          <w:sz w:val="20"/>
          <w:szCs w:val="20"/>
        </w:rPr>
      </w:pPr>
      <w:r>
        <w:rPr>
          <w:rFonts w:ascii="Arabic Transparent" w:hAnsi="Arabic Transparent"/>
          <w:sz w:val="20"/>
          <w:szCs w:val="20"/>
        </w:rPr>
        <w:t xml:space="preserve">في اجتماع </w:t>
      </w:r>
      <w:r>
        <w:rPr>
          <w:rFonts w:ascii="Arabic Transparent" w:hAnsi="Arabic Transparent"/>
          <w:sz w:val="20"/>
          <w:rtl w:val="0"/>
        </w:rPr>
        <w:t>ICANN 60</w:t>
      </w:r>
      <w:r>
        <w:rPr>
          <w:rFonts w:ascii="Arabic Transparent" w:hAnsi="Arabic Transparent"/>
          <w:sz w:val="20"/>
          <w:szCs w:val="20"/>
        </w:rPr>
        <w:t xml:space="preserve"> تم الاتفاق على أنه ينبغي وضع نهج يؤكد أن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توافق على تقييم مؤسسة </w:t>
      </w:r>
      <w:r>
        <w:rPr>
          <w:rFonts w:ascii="Arabic Transparent" w:hAnsi="Arabic Transparent"/>
          <w:sz w:val="20"/>
          <w:rtl w:val="0"/>
        </w:rPr>
        <w:t>ICANN</w:t>
      </w:r>
      <w:r>
        <w:rPr>
          <w:rFonts w:ascii="Arabic Transparent" w:hAnsi="Arabic Transparent"/>
          <w:sz w:val="20"/>
          <w:szCs w:val="20"/>
        </w:rPr>
        <w:t xml:space="preserve"> الحالي لعدد 136 مشورة "مغلقة" سابقة. في الوقت الحالي، عملية التقييم التاريخي ليست واضحة. بالإضافة إلى ذلك، هناك حاجة إلى إنش</w:t>
      </w:r>
      <w:bookmarkStart w:id="0" w:name="_GoBack"/>
      <w:bookmarkEnd w:id="0"/>
      <w:r>
        <w:rPr>
          <w:rFonts w:ascii="Arabic Transparent" w:hAnsi="Arabic Transparent"/>
          <w:sz w:val="20"/>
          <w:szCs w:val="20"/>
        </w:rPr>
        <w:t xml:space="preserve">اء عملية تأكيد مستمرة للنظر في جميع مشورات </w:t>
      </w:r>
      <w:r>
        <w:rPr>
          <w:rFonts w:ascii="Arabic Transparent" w:hAnsi="Arabic Transparent"/>
          <w:sz w:val="20"/>
          <w:rtl w:val="0"/>
        </w:rPr>
        <w:t>GAC</w:t>
      </w:r>
      <w:r>
        <w:rPr>
          <w:rFonts w:ascii="Arabic Transparent" w:hAnsi="Arabic Transparent"/>
          <w:sz w:val="20"/>
          <w:szCs w:val="20"/>
        </w:rPr>
        <w:t xml:space="preserve"> المستقبلية.</w:t>
      </w:r>
    </w:p>
    <w:p w14:paraId="21820ABF" w14:textId="77777777" w:rsidR="000219FD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4E2FDEF" w14:textId="77777777" w:rsidR="000219FD" w:rsidRDefault="000219FD" w:rsidP="000219FD">
      <w:pPr>
        <w:pStyle w:val="Heading2"/>
      </w:pPr>
      <w:r>
        <w:t>الخطوات التالية:</w:t>
      </w:r>
    </w:p>
    <w:p w14:paraId="6334644F" w14:textId="77777777" w:rsidR="000219FD" w:rsidRDefault="000219FD" w:rsidP="000219FD"/>
    <w:p w14:paraId="6BF90429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b/>
          <w:bCs/>
          <w:color w:val="000000"/>
          <w:sz w:val="20"/>
          <w:szCs w:val="20"/>
          <w:u w:val="single"/>
        </w:rPr>
        <w:t>تأكيد حالة المشورة السابقة:</w:t>
      </w:r>
      <w:r>
        <w:rPr>
          <w:rFonts w:ascii="Arabic Transparent" w:hAnsi="Arabic Transparent"/>
          <w:b/>
          <w:bCs/>
          <w:color w:val="000000"/>
          <w:sz w:val="20"/>
          <w:szCs w:val="20"/>
        </w:rPr>
        <w:t xml:space="preserve">  </w:t>
      </w:r>
      <w:r>
        <w:rPr>
          <w:rFonts w:ascii="Arabic Transparent" w:hAnsi="Arabic Transparent"/>
          <w:color w:val="000000"/>
          <w:sz w:val="20"/>
          <w:szCs w:val="20"/>
        </w:rPr>
        <w:t xml:space="preserve">يرافق جدول أعمال هذه الجلسة على موقع </w:t>
      </w:r>
      <w:r>
        <w:rPr>
          <w:rFonts w:ascii="Arabic Transparent" w:hAnsi="Arabic Transparent"/>
          <w:color w:val="000000"/>
          <w:sz w:val="20"/>
          <w:rtl w:val="0"/>
        </w:rPr>
        <w:t>GAC</w:t>
      </w:r>
      <w:r>
        <w:rPr>
          <w:rFonts w:ascii="Arabic Transparent" w:hAnsi="Arabic Transparent"/>
          <w:color w:val="000000"/>
          <w:sz w:val="20"/>
          <w:szCs w:val="20"/>
        </w:rPr>
        <w:t xml:space="preserve"> الإلكتروني (انظر – </w:t>
      </w:r>
      <w:hyperlink r:id="rId8">
        <w:r>
          <w:rPr>
            <w:rStyle w:val="Hyperlink"/>
            <w:rFonts w:ascii="Arabic Transparent" w:hAnsi="Arabic Transparent"/>
            <w:sz w:val="20"/>
            <w:rtl w:val="0"/>
          </w:rPr>
          <w:t>https://gac.icann.org/agendas/icann62-panama-city-agenda</w:t>
        </w:r>
      </w:hyperlink>
      <w:r>
        <w:rPr>
          <w:rFonts w:ascii="Arabic Transparent" w:hAnsi="Arabic Transparent"/>
          <w:color w:val="000000"/>
          <w:sz w:val="20"/>
          <w:szCs w:val="20"/>
        </w:rPr>
        <w:t xml:space="preserve">) أحدث تجميع لسجل طلبات اتخاذ الإجراءات </w:t>
      </w:r>
      <w:r>
        <w:rPr>
          <w:rFonts w:ascii="Arabic Transparent" w:hAnsi="Arabic Transparent"/>
          <w:color w:val="000000"/>
          <w:sz w:val="20"/>
          <w:rtl w:val="0"/>
        </w:rPr>
        <w:t>ARR</w:t>
      </w:r>
      <w:r>
        <w:rPr>
          <w:rFonts w:ascii="Arabic Transparent" w:hAnsi="Arabic Transparent"/>
          <w:color w:val="000000"/>
          <w:sz w:val="20"/>
          <w:szCs w:val="20"/>
        </w:rPr>
        <w:t xml:space="preserve"> لعدد 162 مشورة مصفوفة في أكثر من 44 صفحة جدول بيانات. كما تمت الإشارة في سان خوان (والذي سبق مناقشته في أبوظبي في اجتماع </w:t>
      </w:r>
      <w:r>
        <w:rPr>
          <w:rFonts w:ascii="Arabic Transparent" w:hAnsi="Arabic Transparent"/>
          <w:color w:val="000000"/>
          <w:sz w:val="20"/>
          <w:rtl w:val="0"/>
        </w:rPr>
        <w:t>ICANN60)</w:t>
      </w:r>
      <w:r>
        <w:rPr>
          <w:rFonts w:ascii="Arabic Transparent" w:hAnsi="Arabic Transparent"/>
          <w:color w:val="000000"/>
          <w:sz w:val="20"/>
          <w:szCs w:val="20"/>
        </w:rPr>
        <w:t xml:space="preserve">، فإن إحدى الخطوات النهائية لتجهيز وتشغيل قاعدة البيانات – قبل نشرها بشكل رسمي على الإنترنت وتحديثها بانتظام في المستقبل – هي أن تؤكد </w:t>
      </w:r>
      <w:r>
        <w:rPr>
          <w:rFonts w:ascii="Arabic Transparent" w:hAnsi="Arabic Transparent"/>
          <w:color w:val="000000"/>
          <w:sz w:val="20"/>
          <w:rtl w:val="0"/>
        </w:rPr>
        <w:t>GAC</w:t>
      </w:r>
      <w:r>
        <w:rPr>
          <w:rFonts w:ascii="Arabic Transparent" w:hAnsi="Arabic Transparent"/>
          <w:color w:val="000000"/>
          <w:sz w:val="20"/>
          <w:szCs w:val="20"/>
        </w:rPr>
        <w:t xml:space="preserve"> ("مقدم المشورة ") القرارات والحالة التي اتخذتها مؤسسة </w:t>
      </w:r>
      <w:r>
        <w:rPr>
          <w:rFonts w:ascii="Arabic Transparent" w:hAnsi="Arabic Transparent"/>
          <w:color w:val="000000"/>
          <w:sz w:val="20"/>
          <w:rtl w:val="0"/>
        </w:rPr>
        <w:t>ICANN</w:t>
      </w:r>
      <w:r>
        <w:rPr>
          <w:rFonts w:ascii="Arabic Transparent" w:hAnsi="Arabic Transparent"/>
          <w:color w:val="000000"/>
          <w:sz w:val="20"/>
          <w:szCs w:val="20"/>
        </w:rPr>
        <w:t xml:space="preserve"> بشأن المشورات المختلفة.</w:t>
      </w:r>
    </w:p>
    <w:p w14:paraId="6248EDD8" w14:textId="079567EA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 xml:space="preserve"> ناقش أعضاء </w:t>
      </w:r>
      <w:r>
        <w:rPr>
          <w:rFonts w:ascii="Arabic Transparent" w:hAnsi="Arabic Transparent"/>
          <w:color w:val="000000"/>
          <w:sz w:val="20"/>
          <w:rtl w:val="0"/>
        </w:rPr>
        <w:t>GAC</w:t>
      </w:r>
      <w:r>
        <w:rPr>
          <w:rFonts w:ascii="Arabic Transparent" w:hAnsi="Arabic Transparent"/>
          <w:color w:val="000000"/>
          <w:sz w:val="20"/>
          <w:szCs w:val="20"/>
        </w:rPr>
        <w:t xml:space="preserve"> في وقت سابق ما يمكن القيام به لتأكيد توصيف </w:t>
      </w:r>
      <w:r>
        <w:rPr>
          <w:rFonts w:ascii="Arabic Transparent" w:hAnsi="Arabic Transparent"/>
          <w:color w:val="000000"/>
          <w:sz w:val="20"/>
          <w:rtl w:val="0"/>
        </w:rPr>
        <w:t>ICANN</w:t>
      </w:r>
      <w:r>
        <w:rPr>
          <w:rFonts w:ascii="Arabic Transparent" w:hAnsi="Arabic Transparent"/>
          <w:color w:val="000000"/>
          <w:sz w:val="20"/>
          <w:szCs w:val="20"/>
        </w:rPr>
        <w:t xml:space="preserve"> لتنفيذ مشورة اللجنة السابقة، لكن لم يتم اتخاذ قرار نهائي بشأن الخطوات التالية المناسبة.</w:t>
      </w:r>
    </w:p>
    <w:p w14:paraId="22D97128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 </w:t>
      </w:r>
    </w:p>
    <w:p w14:paraId="0AD6BE69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يبدو أن الخيارات المتاحة لإجراء تقييم المشورة التاريخية تشمل:</w:t>
      </w:r>
    </w:p>
    <w:p w14:paraId="6B53826E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 </w:t>
      </w:r>
    </w:p>
    <w:p w14:paraId="7DBFB051" w14:textId="77777777" w:rsidR="000219FD" w:rsidRPr="0093040F" w:rsidRDefault="000219FD" w:rsidP="000219FD">
      <w:pPr>
        <w:spacing w:line="276" w:lineRule="auto"/>
        <w:ind w:left="720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(1) مراجعة كاملة لعدد 162 مشورة؛</w:t>
      </w:r>
    </w:p>
    <w:p w14:paraId="3DDC0518" w14:textId="77777777" w:rsidR="000219FD" w:rsidRPr="0093040F" w:rsidRDefault="000219FD" w:rsidP="000219FD">
      <w:pPr>
        <w:spacing w:line="276" w:lineRule="auto"/>
        <w:ind w:left="720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 xml:space="preserve">(2) محاولة "تأكيد" عدد 136 مشورة فقط والتي تصفها مؤسسة </w:t>
      </w:r>
      <w:r>
        <w:rPr>
          <w:rFonts w:ascii="Arabic Transparent" w:hAnsi="Arabic Transparent"/>
          <w:color w:val="000000"/>
          <w:sz w:val="20"/>
          <w:rtl w:val="0"/>
        </w:rPr>
        <w:t>ICANN</w:t>
      </w:r>
      <w:r>
        <w:rPr>
          <w:rFonts w:ascii="Arabic Transparent" w:hAnsi="Arabic Transparent"/>
          <w:color w:val="000000"/>
          <w:sz w:val="20"/>
          <w:szCs w:val="20"/>
        </w:rPr>
        <w:t xml:space="preserve"> بأنها "مغلقة"؛</w:t>
      </w:r>
    </w:p>
    <w:p w14:paraId="3CBC3253" w14:textId="77777777" w:rsidR="000219FD" w:rsidRPr="0093040F" w:rsidRDefault="000219FD" w:rsidP="000219FD">
      <w:pPr>
        <w:spacing w:line="276" w:lineRule="auto"/>
        <w:ind w:left="720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 xml:space="preserve">(3) مراجعة أكثر تحديدًا لهذه المشورات فقط التي تصفها مؤسسة </w:t>
      </w:r>
      <w:r>
        <w:rPr>
          <w:rFonts w:ascii="Arabic Transparent" w:hAnsi="Arabic Transparent"/>
          <w:color w:val="000000"/>
          <w:sz w:val="20"/>
          <w:rtl w:val="0"/>
        </w:rPr>
        <w:t>ICANN</w:t>
      </w:r>
      <w:r>
        <w:rPr>
          <w:rFonts w:ascii="Arabic Transparent" w:hAnsi="Arabic Transparent"/>
          <w:color w:val="000000"/>
          <w:sz w:val="20"/>
          <w:szCs w:val="20"/>
        </w:rPr>
        <w:t xml:space="preserve"> بأنها إما في وضع "التقييم والنظر" أو في وضع "التنفيذ"؛ أو</w:t>
      </w:r>
    </w:p>
    <w:p w14:paraId="1AE3745E" w14:textId="77777777" w:rsidR="000219FD" w:rsidRPr="0093040F" w:rsidRDefault="000219FD" w:rsidP="000219FD">
      <w:pPr>
        <w:spacing w:line="276" w:lineRule="auto"/>
        <w:ind w:left="720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(4) نهج ما آخر.</w:t>
      </w:r>
    </w:p>
    <w:p w14:paraId="22F4084D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color w:val="000000"/>
          <w:sz w:val="20"/>
          <w:szCs w:val="20"/>
        </w:rPr>
        <w:t>  </w:t>
      </w:r>
    </w:p>
    <w:p w14:paraId="06EF36C3" w14:textId="77777777" w:rsidR="000219FD" w:rsidRPr="0093040F" w:rsidRDefault="000219FD" w:rsidP="000219FD">
      <w:pPr>
        <w:spacing w:line="276" w:lineRule="auto"/>
        <w:rPr>
          <w:rFonts w:ascii="Arabic Transparent" w:hAnsi="Arabic Transparent" w:cs="Arabic Transparent"/>
          <w:color w:val="000000"/>
          <w:sz w:val="20"/>
          <w:szCs w:val="20"/>
        </w:rPr>
      </w:pPr>
      <w:r>
        <w:rPr>
          <w:rFonts w:ascii="Arabic Transparent" w:hAnsi="Arabic Transparent"/>
          <w:b/>
          <w:bCs/>
          <w:color w:val="000000"/>
          <w:sz w:val="20"/>
          <w:szCs w:val="20"/>
          <w:u w:val="single"/>
        </w:rPr>
        <w:lastRenderedPageBreak/>
        <w:t>التوقعات من الجلسة:</w:t>
      </w:r>
      <w:r>
        <w:rPr>
          <w:rFonts w:ascii="Arabic Transparent" w:hAnsi="Arabic Transparent"/>
          <w:color w:val="000000"/>
          <w:sz w:val="20"/>
          <w:szCs w:val="20"/>
        </w:rPr>
        <w:t xml:space="preserve">   خلال هذه الجلسة، من المأمول أن يقدم أعضاء </w:t>
      </w:r>
      <w:r>
        <w:rPr>
          <w:rFonts w:ascii="Arabic Transparent" w:hAnsi="Arabic Transparent"/>
          <w:color w:val="000000"/>
          <w:sz w:val="20"/>
          <w:rtl w:val="0"/>
        </w:rPr>
        <w:t>GAC</w:t>
      </w:r>
      <w:r>
        <w:rPr>
          <w:rFonts w:ascii="Arabic Transparent" w:hAnsi="Arabic Transparent"/>
          <w:color w:val="000000"/>
          <w:sz w:val="20"/>
          <w:szCs w:val="20"/>
        </w:rPr>
        <w:t xml:space="preserve"> مساهمة بشأن الخيارات الأربعة المحتملة ويتبادلون أية أفكار، اقتراحات أو توصيات للطريقة الأكثر فعالية التي يمكن أن تنفذ بها </w:t>
      </w:r>
      <w:r>
        <w:rPr>
          <w:rFonts w:ascii="Arabic Transparent" w:hAnsi="Arabic Transparent"/>
          <w:color w:val="000000"/>
          <w:sz w:val="20"/>
          <w:rtl w:val="0"/>
        </w:rPr>
        <w:t>GAC</w:t>
      </w:r>
      <w:r>
        <w:rPr>
          <w:rFonts w:ascii="Arabic Transparent" w:hAnsi="Arabic Transparent"/>
          <w:color w:val="000000"/>
          <w:sz w:val="20"/>
          <w:szCs w:val="20"/>
        </w:rPr>
        <w:t xml:space="preserve"> مراجعة المخزون الحالي للمشورة السابقة.  </w:t>
      </w:r>
    </w:p>
    <w:p w14:paraId="38F89298" w14:textId="40CE8FA5" w:rsidR="004361B1" w:rsidRDefault="004361B1" w:rsidP="004361B1">
      <w:pPr>
        <w:pStyle w:val="BodyText"/>
        <w:ind w:right="545"/>
      </w:pPr>
    </w:p>
    <w:p w14:paraId="4F69831C" w14:textId="1DD79EAB" w:rsidR="00D46285" w:rsidRDefault="00D46285" w:rsidP="004361B1">
      <w:pPr>
        <w:pStyle w:val="BodyText"/>
        <w:ind w:right="545"/>
      </w:pPr>
    </w:p>
    <w:p w14:paraId="73EEC342" w14:textId="6968AD9D" w:rsidR="00D46285" w:rsidRDefault="00D46285" w:rsidP="004361B1">
      <w:pPr>
        <w:pStyle w:val="BodyText"/>
        <w:ind w:right="545"/>
      </w:pPr>
    </w:p>
    <w:p w14:paraId="6FD95419" w14:textId="77777777" w:rsidR="00D46285" w:rsidRPr="00E06DE4" w:rsidRDefault="00D46285" w:rsidP="004361B1">
      <w:pPr>
        <w:pStyle w:val="BodyText"/>
        <w:ind w:right="545"/>
      </w:pPr>
    </w:p>
    <w:p w14:paraId="331C9076" w14:textId="77777777" w:rsidR="004361B1" w:rsidRDefault="004361B1" w:rsidP="00EA4C85">
      <w:pPr>
        <w:pStyle w:val="Heading2"/>
      </w:pPr>
      <w:bookmarkStart w:id="1" w:name="_Hlk484433727"/>
      <w: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C365F8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439" w:type="dxa"/>
            <w:vAlign w:val="center"/>
          </w:tcPr>
          <w:p w14:paraId="212D1778" w14:textId="2E384C29" w:rsidR="004361B1" w:rsidRPr="00EA3A02" w:rsidRDefault="00D46285" w:rsidP="003F39D5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>سجل طلبات اتخاذ الإجراءات</w:t>
            </w:r>
          </w:p>
        </w:tc>
      </w:tr>
      <w:tr w:rsidR="004361B1" w:rsidRPr="003F43E3" w14:paraId="6AC7363A" w14:textId="77777777" w:rsidTr="00C365F8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 xml:space="preserve">أعضاء </w:t>
            </w:r>
            <w:r>
              <w:rPr>
                <w:rFonts w:ascii="Arabic Transparent" w:eastAsiaTheme="minorEastAsia" w:hAnsi="Arabic Transparent" w:cstheme="minorBidi"/>
                <w:sz w:val="20"/>
                <w:rtl w:val="0"/>
              </w:rPr>
              <w:t>GAC</w:t>
            </w:r>
          </w:p>
        </w:tc>
      </w:tr>
      <w:tr w:rsidR="004361B1" w:rsidRPr="003F43E3" w14:paraId="10FBEF62" w14:textId="77777777" w:rsidTr="00C365F8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439" w:type="dxa"/>
            <w:vAlign w:val="center"/>
          </w:tcPr>
          <w:p w14:paraId="24CEF265" w14:textId="6D501723" w:rsidR="004361B1" w:rsidRDefault="000219FD" w:rsidP="00533EC9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>الإصدار 1.0   7 حزيران (يونيو) 2018</w:t>
            </w:r>
          </w:p>
          <w:p w14:paraId="5BCE3609" w14:textId="543688F0" w:rsidR="000219FD" w:rsidRPr="003F43E3" w:rsidRDefault="000219FD" w:rsidP="00533EC9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>الإصدار 1.1   14 حزيران (يونيو) 2018</w:t>
            </w:r>
          </w:p>
        </w:tc>
      </w:tr>
      <w:bookmarkEnd w:id="1"/>
    </w:tbl>
    <w:p w14:paraId="2C1B3C99" w14:textId="77777777" w:rsidR="004361B1" w:rsidRDefault="004361B1" w:rsidP="004361B1">
      <w:pPr>
        <w:pStyle w:val="BodyText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BodyText"/>
      </w:pPr>
    </w:p>
    <w:sectPr w:rsidR="004361B1" w:rsidRPr="004361B1" w:rsidSect="0012301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6185" w14:textId="77777777" w:rsidR="003E49D9" w:rsidRDefault="003E49D9">
      <w:r>
        <w:separator/>
      </w:r>
    </w:p>
  </w:endnote>
  <w:endnote w:type="continuationSeparator" w:id="0">
    <w:p w14:paraId="601A3034" w14:textId="77777777" w:rsidR="003E49D9" w:rsidRDefault="003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1C59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D6949" w14:textId="77777777" w:rsidR="0012301E" w:rsidRDefault="0012301E" w:rsidP="00123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CA4A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C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13BF2" w14:textId="77777777" w:rsidR="0012301E" w:rsidRDefault="0012301E" w:rsidP="0012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712D" w14:textId="77777777" w:rsidR="003E49D9" w:rsidRDefault="003E49D9">
      <w:r>
        <w:separator/>
      </w:r>
    </w:p>
  </w:footnote>
  <w:footnote w:type="continuationSeparator" w:id="0">
    <w:p w14:paraId="5B0F2B00" w14:textId="77777777" w:rsidR="003E49D9" w:rsidRDefault="003E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B69B" w14:textId="77777777" w:rsidR="0012301E" w:rsidRDefault="004361B1">
    <w:pPr>
      <w:pStyle w:val="Header"/>
    </w:pPr>
    <w:r>
      <w:rPr>
        <w:rFonts w:asciiTheme="majorHAnsi" w:hAnsiTheme="majorHAnsi"/>
        <w:noProof/>
        <w:lang w:eastAsia="zh-CN" w:bidi="ar-SA"/>
      </w:rPr>
      <w:drawing>
        <wp:anchor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50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F46"/>
    <w:multiLevelType w:val="hybridMultilevel"/>
    <w:tmpl w:val="46B2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1"/>
    <w:rsid w:val="000219FD"/>
    <w:rsid w:val="00083781"/>
    <w:rsid w:val="000A2E18"/>
    <w:rsid w:val="000A353D"/>
    <w:rsid w:val="000F5DA7"/>
    <w:rsid w:val="001002A0"/>
    <w:rsid w:val="0010486C"/>
    <w:rsid w:val="00110CA7"/>
    <w:rsid w:val="0012301E"/>
    <w:rsid w:val="00141865"/>
    <w:rsid w:val="001F22E5"/>
    <w:rsid w:val="00285EDD"/>
    <w:rsid w:val="00291620"/>
    <w:rsid w:val="002E0299"/>
    <w:rsid w:val="00331F2A"/>
    <w:rsid w:val="00366290"/>
    <w:rsid w:val="003765A3"/>
    <w:rsid w:val="00396B5D"/>
    <w:rsid w:val="003E49D9"/>
    <w:rsid w:val="003F39D5"/>
    <w:rsid w:val="004134C7"/>
    <w:rsid w:val="004361B1"/>
    <w:rsid w:val="00492172"/>
    <w:rsid w:val="004A7363"/>
    <w:rsid w:val="004E3525"/>
    <w:rsid w:val="004E4507"/>
    <w:rsid w:val="00533EC9"/>
    <w:rsid w:val="005B60AA"/>
    <w:rsid w:val="00603893"/>
    <w:rsid w:val="00671DD7"/>
    <w:rsid w:val="006B0F0E"/>
    <w:rsid w:val="007074E5"/>
    <w:rsid w:val="00775D36"/>
    <w:rsid w:val="007B5355"/>
    <w:rsid w:val="008F68D5"/>
    <w:rsid w:val="00AC08BE"/>
    <w:rsid w:val="00B00F9D"/>
    <w:rsid w:val="00BC6D1B"/>
    <w:rsid w:val="00BE5829"/>
    <w:rsid w:val="00C008C9"/>
    <w:rsid w:val="00C0678C"/>
    <w:rsid w:val="00C365F8"/>
    <w:rsid w:val="00C83C67"/>
    <w:rsid w:val="00D46285"/>
    <w:rsid w:val="00DD157E"/>
    <w:rsid w:val="00DE28B4"/>
    <w:rsid w:val="00E01D4E"/>
    <w:rsid w:val="00E15046"/>
    <w:rsid w:val="00E15B53"/>
    <w:rsid w:val="00E6612A"/>
    <w:rsid w:val="00EA4C85"/>
    <w:rsid w:val="00F02FF8"/>
    <w:rsid w:val="00F42B96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1"/>
    <w:pPr>
      <w:bidi/>
    </w:pPr>
    <w:rPr>
      <w:rFonts w:ascii="Times New Roman" w:eastAsia="Times New Roman" w:hAnsi="Times New Roman" w:cs="Times New Roman"/>
      <w:rtl/>
    </w:rPr>
  </w:style>
  <w:style w:type="paragraph" w:styleId="Heading1">
    <w:name w:val="heading 1"/>
    <w:next w:val="BodyText"/>
    <w:link w:val="Heading1Ch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  <w:rtl/>
      <w:lang w:val="en-AU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A4C85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2F5496" w:themeColor="accent1" w:themeShade="B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A4C85"/>
    <w:rPr>
      <w:rFonts w:ascii="Century Gothic" w:eastAsia="Calibri" w:hAnsi="Century Gothic" w:cs="Times New Roman"/>
      <w:b/>
      <w:color w:val="2F5496" w:themeColor="accent1" w:themeShade="B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61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61B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61B1"/>
  </w:style>
  <w:style w:type="paragraph" w:styleId="BodyText">
    <w:name w:val="Body Text"/>
    <w:basedOn w:val="Normal"/>
    <w:link w:val="BodyTextChar"/>
    <w:uiPriority w:val="99"/>
    <w:unhideWhenUsed/>
    <w:rsid w:val="00436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61B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1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68D5"/>
    <w:rPr>
      <w:color w:val="954F72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gendas/icann62-panama-city-age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.ptbl.co/static/attachments/169285/1520888837.pdf?1520888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 panose="020F0302020204030204"/>
        <a:ea typeface="Arabic Transparent"/>
        <a:cs typeface="Arabic Transparent"/>
      </a:majorFont>
      <a:minorFont>
        <a:latin typeface="Arabic Transparent" panose="020F0502020204030204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Charvolen</dc:creator>
  <cp:keywords/>
  <dc:description/>
  <cp:lastModifiedBy>Julian Dick</cp:lastModifiedBy>
  <cp:revision>2</cp:revision>
  <dcterms:created xsi:type="dcterms:W3CDTF">2018-07-01T12:20:00Z</dcterms:created>
  <dcterms:modified xsi:type="dcterms:W3CDTF">2018-07-01T12:20:00Z</dcterms:modified>
</cp:coreProperties>
</file>